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26"/>
        <w:gridCol w:w="726"/>
        <w:gridCol w:w="910"/>
        <w:gridCol w:w="1021"/>
        <w:gridCol w:w="70"/>
        <w:gridCol w:w="674"/>
        <w:gridCol w:w="1202"/>
        <w:gridCol w:w="356"/>
        <w:gridCol w:w="1276"/>
        <w:gridCol w:w="244"/>
        <w:gridCol w:w="1172"/>
        <w:gridCol w:w="232"/>
        <w:gridCol w:w="2"/>
        <w:gridCol w:w="474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2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Choroby zakaźne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1026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26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5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65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26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765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16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6" w:type="dxa"/>
            <w:gridSpan w:val="13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Znajomość anatomii, fizjologii, biochemii. </w:t>
            </w: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212529"/>
                <w:spacing w:val="0"/>
                <w:sz w:val="20"/>
                <w:szCs w:val="20"/>
              </w:rPr>
              <w:t>Umiejętności: w zakresie prawidłowego zbierania wywiadu, oceny stanu pacjenta i intepretacji badań laboratoryjnych.</w:t>
            </w:r>
          </w:p>
        </w:tc>
      </w:tr>
      <w:tr>
        <w:trPr>
          <w:trHeight w:val="1044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6" w:type="dxa"/>
            <w:gridSpan w:val="1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before="0" w:after="160"/>
              <w:ind w:hanging="0" w:left="0"/>
              <w:jc w:val="both"/>
              <w:outlineLvl w:val="1"/>
              <w:rPr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Zdobycie przez studentów wiedzy i praktycznych umiejętności pozwalających na efektywną pracę z pacjentem z chorobą infekcyjną, ze szczególnym uwzględnieniem roli ratownika medycznego. Poznanie problemów związanych z narażeniem zawodowym na zakażenie. Zdobycie wiedzy i umiejętności z zakresu profilaktyki poekspozycyjnej (PEP).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6" w:type="dxa"/>
            <w:gridSpan w:val="1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Ćwiczenia: gra dydaktyczna, pokaz z objaśnieniem, analiza przypadków.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6" w:type="dxa"/>
            <w:gridSpan w:val="13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plansze dydaktyczne.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247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C.W4. najczęstsze choroby zakaźne wieku dziecięcego;</w:t>
            </w:r>
          </w:p>
        </w:tc>
        <w:tc>
          <w:tcPr>
            <w:tcW w:w="2359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obserwacja pracy studenta, projekt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24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2"/>
                <w:sz w:val="20"/>
                <w:szCs w:val="20"/>
                <w:lang w:eastAsia="zh-CN"/>
              </w:rPr>
              <w:t>C.W21. zasady dekontaminacji;</w:t>
            </w:r>
          </w:p>
        </w:tc>
        <w:tc>
          <w:tcPr>
            <w:tcW w:w="2359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24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C.W34. przyczyny, objawy, zasady diagnozowania i postępowania profilaktycznego w najczęstszych chorobach bakteryjnych, wirusowych, pasożytniczych i grzybicach, w tym zakażeniach pneumokokowych i meningokokowych, wirusowym zapaleniu wątroby, nabytym niedoborze odporności AIDS, sepsie i zakażeniach szpitalnych;</w:t>
            </w:r>
          </w:p>
        </w:tc>
        <w:tc>
          <w:tcPr>
            <w:tcW w:w="2359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24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C.W51. zasady aseptyki i antyseptyki;</w:t>
            </w:r>
          </w:p>
        </w:tc>
        <w:tc>
          <w:tcPr>
            <w:tcW w:w="2359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24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C.W85. zagrożenia środowiskowe;</w:t>
            </w:r>
          </w:p>
        </w:tc>
        <w:tc>
          <w:tcPr>
            <w:tcW w:w="2359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24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C.W86. rodzaje katastrof, procedury medyczne i działania ratunkowe podejmowane w zdarzeniach mnogich i masowych oraz katastrofach, a także w zdarzeniach z wystąpieniem zagrożeń chemicznych, biologicznych, radiacyjnych lub nuklearnych;</w:t>
            </w:r>
          </w:p>
        </w:tc>
        <w:tc>
          <w:tcPr>
            <w:tcW w:w="2359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24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C.U25. identyfikować na miejscu zdarzenia sytuację narażenia na czynniki szkodliwe i niebezpieczne;</w:t>
            </w:r>
          </w:p>
        </w:tc>
        <w:tc>
          <w:tcPr>
            <w:tcW w:w="2359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Autospacing="1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obserwacja pracy studenta, projekt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24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C.U27. identyfikować błędy i zaniedbania w praktyce ratownika medycznego;</w:t>
            </w:r>
          </w:p>
        </w:tc>
        <w:tc>
          <w:tcPr>
            <w:tcW w:w="2359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24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themeColor="text1"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C.U33. interpretować wyniki podstawowych badań toksykologicznych;</w:t>
            </w:r>
          </w:p>
        </w:tc>
        <w:tc>
          <w:tcPr>
            <w:tcW w:w="2359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24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K.4.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6" w:type="dxa"/>
            <w:gridSpan w:val="13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odpowiedź ustna, projekt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eastAsia="pl-PL"/>
              </w:rPr>
              <w:t>Infekcje ośrodkowego układu nerwowego</w:t>
            </w:r>
          </w:p>
        </w:tc>
        <w:tc>
          <w:tcPr>
            <w:tcW w:w="2357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Sepsa i wstrząs septyczny</w:t>
            </w:r>
          </w:p>
        </w:tc>
        <w:tc>
          <w:tcPr>
            <w:tcW w:w="235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Zakażenie HIV - epidemiologia, obraz kliniczny</w:t>
            </w:r>
          </w:p>
        </w:tc>
        <w:tc>
          <w:tcPr>
            <w:tcW w:w="235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Ekspozycje zawodowe pracowników medycznych na materiał biologiczny - możliwości profilaktyki poekspozycyjnej</w:t>
            </w:r>
          </w:p>
        </w:tc>
        <w:tc>
          <w:tcPr>
            <w:tcW w:w="235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Choroby o wysokim stopniu zaraźliwości</w:t>
            </w:r>
          </w:p>
        </w:tc>
        <w:tc>
          <w:tcPr>
            <w:tcW w:w="235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z pacjentem gorączkującym</w:t>
            </w:r>
          </w:p>
        </w:tc>
        <w:tc>
          <w:tcPr>
            <w:tcW w:w="2357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z pacjentem z biegunką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z pacjentem z żółtaczką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z pacjentem z wysypką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z chorym z neuroinfekcją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z chorym powracającym z tropików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z chorym na choroby odzwierzęce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Interpretacja wyników badań w chorobach zakaźnych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Zasady leczenia wybranych chorób zakaźnych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Zasady profilaktyki wybranych chorób zakaźnych</w:t>
            </w:r>
          </w:p>
        </w:tc>
        <w:tc>
          <w:tcPr>
            <w:tcW w:w="2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80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0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80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BodyText"/>
              <w:numPr>
                <w:ilvl w:val="3"/>
                <w:numId w:val="3"/>
              </w:numPr>
              <w:spacing w:before="0" w:after="120"/>
              <w:ind w:hanging="360" w:left="373"/>
              <w:jc w:val="both"/>
              <w:rPr/>
            </w:pPr>
            <w:r>
              <w:rPr>
                <w:rFonts w:cs="Times New Roman"/>
                <w:b w:val="false"/>
                <w:i w:val="false"/>
                <w:caps w:val="false"/>
                <w:smallCaps w:val="false"/>
                <w:color w:val="212529"/>
                <w:spacing w:val="0"/>
                <w:sz w:val="20"/>
                <w:szCs w:val="20"/>
              </w:rPr>
              <w:t>A. Boroń-Kaczmarska, A. Wiercińska-Drapało. Choroby zakaźne i pasożytnicze. Wydawnictwo Lekarskie PZWL, 2022, ISBN 978-83-01-22556-8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Dziubek – „Choroby zakaźne i pasożytnicze” wyd. PZWL, 2010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Application>LibreOffice/25.8.5.2$Windows_X86_64 LibreOffice_project/9c8b85f387cc00a89945a79c9e6239f32e450ac2</Application>
  <AppVersion>15.0000</AppVersion>
  <Pages>3</Pages>
  <Words>954</Words>
  <Characters>6766</Characters>
  <CharactersWithSpaces>7565</CharactersWithSpaces>
  <Paragraphs>176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2026-03-26T10:00:53Z</dcterms:modified>
  <cp:revision>225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